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126" w:rsidRPr="0044294E" w:rsidRDefault="00416126" w:rsidP="009C6435">
      <w:pPr>
        <w:spacing w:before="120"/>
        <w:jc w:val="right"/>
        <w:rPr>
          <w:b/>
        </w:rPr>
      </w:pPr>
      <w:r w:rsidRPr="0044294E">
        <w:rPr>
          <w:b/>
          <w:bCs/>
        </w:rPr>
        <w:t>II.</w:t>
      </w:r>
    </w:p>
    <w:p w:rsidR="00416126" w:rsidRPr="0044294E" w:rsidRDefault="00416126" w:rsidP="00025570">
      <w:pPr>
        <w:spacing w:before="120"/>
        <w:jc w:val="center"/>
        <w:rPr>
          <w:b/>
        </w:rPr>
      </w:pPr>
      <w:r w:rsidRPr="0044294E">
        <w:rPr>
          <w:b/>
        </w:rPr>
        <w:t>PŘEDKLÁDACÍ ZPRÁVA</w:t>
      </w:r>
    </w:p>
    <w:p w:rsidR="00E32DDD" w:rsidRPr="00B47982" w:rsidRDefault="00E32DDD" w:rsidP="00B47982">
      <w:pPr>
        <w:spacing w:after="200"/>
        <w:ind w:firstLine="567"/>
        <w:jc w:val="both"/>
      </w:pPr>
    </w:p>
    <w:p w:rsidR="00B47982" w:rsidRDefault="00B47982" w:rsidP="00B47982">
      <w:pPr>
        <w:spacing w:after="200"/>
        <w:ind w:firstLine="567"/>
        <w:jc w:val="both"/>
      </w:pPr>
      <w:r w:rsidRPr="00B47982">
        <w:t xml:space="preserve">Materiál s názvem „Identifikace hospodářských a nehospodářských činností výzkumných organizací a výzkumných infrastruktur ve výzkumu, vývoji a inovacích (metodické doporučení)“ předkládá vládě ke schválení předseda Rady pro výzkum, vývoj a inovace. Materiál obsahuje v části III. </w:t>
      </w:r>
      <w:r>
        <w:t>„</w:t>
      </w:r>
      <w:r w:rsidRPr="00B47982">
        <w:t>Identifikaci hospodářských a nehospodářských činností výzkumných organizací a výzkumných infrastruktur ve výzkumu, vývoji a inovacích (metodické doporučení)</w:t>
      </w:r>
      <w:r>
        <w:t>“</w:t>
      </w:r>
      <w:r w:rsidRPr="00B47982">
        <w:t xml:space="preserve"> </w:t>
      </w:r>
      <w:r>
        <w:t xml:space="preserve">- </w:t>
      </w:r>
      <w:r w:rsidRPr="00B47982">
        <w:t>dále jen „</w:t>
      </w:r>
      <w:r>
        <w:t>Identifikace činností výzkumných organizací</w:t>
      </w:r>
      <w:r w:rsidRPr="00B47982">
        <w:t>“</w:t>
      </w:r>
      <w:r>
        <w:t>.</w:t>
      </w:r>
    </w:p>
    <w:p w:rsidR="00533AC2" w:rsidRDefault="00533AC2" w:rsidP="001A0AD4">
      <w:pPr>
        <w:spacing w:after="200"/>
        <w:ind w:firstLine="567"/>
        <w:jc w:val="both"/>
      </w:pPr>
      <w:r w:rsidRPr="00533AC2">
        <w:t>Podle čl. 107 odst. 1 Smlouvy o fungování Evropské unie podpory poskytované v jakékoli formě státem nebo ze státních prostředků, které narušují nebo mohou narušit hospodářskou soutěž tím, že zvýhodňují určité podniky nebo určitá odvětví výroby, jsou, pokud ovlivňují obchod mezi členskými státy, neslučitelné s vnitřním trhem, nestanoví-li Smlouvy jinak.</w:t>
      </w:r>
      <w:r>
        <w:t xml:space="preserve"> </w:t>
      </w:r>
      <w:r w:rsidR="00F31BA1">
        <w:t xml:space="preserve">Právně upravuje podmínky poskytování </w:t>
      </w:r>
      <w:r w:rsidR="00F222DF">
        <w:t>veřejné</w:t>
      </w:r>
      <w:r w:rsidR="00901F3D">
        <w:t xml:space="preserve"> podpory přímo aplikovatelné předpisy</w:t>
      </w:r>
      <w:r w:rsidR="00F31BA1">
        <w:t xml:space="preserve"> - </w:t>
      </w:r>
      <w:r w:rsidR="00F31BA1" w:rsidRPr="00F31BA1">
        <w:t>Nařízení Komise (EU) č. 651/20154 Sb.</w:t>
      </w:r>
      <w:r w:rsidR="00311320">
        <w:t xml:space="preserve"> ze dne 14. června 2014</w:t>
      </w:r>
      <w:r w:rsidR="00F31BA1">
        <w:t xml:space="preserve">, </w:t>
      </w:r>
      <w:r w:rsidR="00F31BA1" w:rsidRPr="00F31BA1">
        <w:t>kterým se v souladu s články 107 a 108 Smlouvy prohlašují určité kategorie podpory za slučitelné s vnitřním trhem</w:t>
      </w:r>
      <w:r w:rsidR="00F31BA1">
        <w:t>,</w:t>
      </w:r>
      <w:r w:rsidR="00F31BA1" w:rsidRPr="00F31BA1">
        <w:t xml:space="preserve"> (dále jen „GBER“)</w:t>
      </w:r>
      <w:r w:rsidR="00311320">
        <w:t xml:space="preserve"> a Nařízení Komise (EU) č. 702/2014 ze dne 25. června 2014, kterým se v souladu s články 107 a 108 Smlouvy o fungování Evropské unie prohlašují určité kategorie podpory v odvětvích zemědělství a lesnictví a ve venkovských oblastech za slučitelné s vnitřním trhem.</w:t>
      </w:r>
    </w:p>
    <w:p w:rsidR="00311320" w:rsidRDefault="00D674FE" w:rsidP="001A0AD4">
      <w:pPr>
        <w:spacing w:after="200"/>
        <w:ind w:firstLine="567"/>
        <w:jc w:val="both"/>
      </w:pPr>
      <w:r>
        <w:t>Podmínky poskytování podpory z veřejných prostředků v oblasti výzkumu, vývoje a</w:t>
      </w:r>
      <w:r w:rsidR="00126C4D">
        <w:t> </w:t>
      </w:r>
      <w:r>
        <w:t xml:space="preserve">inovací specifikuje Sdělení Komise - </w:t>
      </w:r>
      <w:r w:rsidRPr="00D674FE">
        <w:t>R</w:t>
      </w:r>
      <w:r w:rsidRPr="00D674FE">
        <w:rPr>
          <w:rFonts w:hint="eastAsia"/>
        </w:rPr>
        <w:t>á</w:t>
      </w:r>
      <w:r w:rsidRPr="00D674FE">
        <w:t>mec pro st</w:t>
      </w:r>
      <w:r w:rsidRPr="00D674FE">
        <w:rPr>
          <w:rFonts w:hint="eastAsia"/>
        </w:rPr>
        <w:t>á</w:t>
      </w:r>
      <w:r w:rsidRPr="00D674FE">
        <w:t>tn</w:t>
      </w:r>
      <w:r w:rsidRPr="00D674FE">
        <w:rPr>
          <w:rFonts w:hint="eastAsia"/>
        </w:rPr>
        <w:t>í</w:t>
      </w:r>
      <w:r w:rsidRPr="00D674FE">
        <w:t xml:space="preserve"> podporu v</w:t>
      </w:r>
      <w:r w:rsidRPr="00D674FE">
        <w:rPr>
          <w:rFonts w:hint="eastAsia"/>
        </w:rPr>
        <w:t>ý</w:t>
      </w:r>
      <w:r w:rsidRPr="00D674FE">
        <w:t>zkumu, v</w:t>
      </w:r>
      <w:r w:rsidRPr="00D674FE">
        <w:rPr>
          <w:rFonts w:hint="eastAsia"/>
        </w:rPr>
        <w:t>ý</w:t>
      </w:r>
      <w:r w:rsidRPr="00D674FE">
        <w:t>voje a inovac</w:t>
      </w:r>
      <w:r w:rsidRPr="00D674FE">
        <w:rPr>
          <w:rFonts w:hint="eastAsia"/>
        </w:rPr>
        <w:t>í</w:t>
      </w:r>
      <w:r>
        <w:t xml:space="preserve"> (2014/C 198/01)</w:t>
      </w:r>
      <w:r w:rsidR="00F222DF">
        <w:t>, dále jen „Rámec“</w:t>
      </w:r>
      <w:r>
        <w:t xml:space="preserve">. </w:t>
      </w:r>
      <w:r w:rsidR="00F222DF">
        <w:t xml:space="preserve">Toto sdělení Komise (EU) není právním předpisem, ale metodikou, již se řídí Komise (EU), do jejíž působnosti posuzování problematiky slučitelnosti veřejné podpory patří. </w:t>
      </w:r>
      <w:r w:rsidR="0090068D">
        <w:t>Rámec ale nejen specifikuje hospodářské činnosti subjektů</w:t>
      </w:r>
      <w:r w:rsidR="00126C4D">
        <w:t xml:space="preserve"> ve výzkumu a vývoji</w:t>
      </w:r>
      <w:r w:rsidR="0090068D">
        <w:t>, které mohou náležet do problematiky veřejn</w:t>
      </w:r>
      <w:r w:rsidR="00126C4D">
        <w:t>é podpory, ale současně uvádí i </w:t>
      </w:r>
      <w:r w:rsidR="0090068D">
        <w:t xml:space="preserve">nehospodářské činnosti výzkumných organizací, které </w:t>
      </w:r>
      <w:r w:rsidR="00A30F08">
        <w:t>nejsou veřejnou podporou</w:t>
      </w:r>
      <w:r w:rsidR="0090068D">
        <w:t xml:space="preserve">. </w:t>
      </w:r>
      <w:r w:rsidR="00A30F08">
        <w:t>Současně Rámec uvádí i podmínky, za kterých výzkumné organizace mohou provozovat vedlejší hospodářské činnosti (tj. nabízet sv</w:t>
      </w:r>
      <w:r w:rsidR="00126C4D">
        <w:t>é</w:t>
      </w:r>
      <w:r w:rsidR="00A30F08">
        <w:t xml:space="preserve"> zboží a služby na trhu). </w:t>
      </w:r>
      <w:r w:rsidR="00D65A44">
        <w:t>Samotný Rámec je poměrně komplikovaným dokumentem</w:t>
      </w:r>
      <w:r w:rsidR="00604D74">
        <w:t>, popisujícím řadu činností výzkumných organizací</w:t>
      </w:r>
      <w:r w:rsidR="00D65A44">
        <w:t xml:space="preserve"> a jeho použití v praxi ve správném kontextu naráží na řadu metodick</w:t>
      </w:r>
      <w:r w:rsidR="00B47982">
        <w:t>ých nejasností a možných výkladů</w:t>
      </w:r>
      <w:r w:rsidR="00D449EC">
        <w:t xml:space="preserve">. </w:t>
      </w:r>
      <w:r w:rsidR="00681EC8">
        <w:t xml:space="preserve">Výsledkem byla řada dokumentů upravujících způsob </w:t>
      </w:r>
      <w:r w:rsidR="00B47982">
        <w:t xml:space="preserve">samotné </w:t>
      </w:r>
      <w:r w:rsidR="00681EC8">
        <w:t>vykazování („zaúčtování“) nehospodářských a hospodářských činností výzkumných organizací.</w:t>
      </w:r>
    </w:p>
    <w:p w:rsidR="00681EC8" w:rsidRDefault="00DF6FBF" w:rsidP="001A0AD4">
      <w:pPr>
        <w:spacing w:after="200"/>
        <w:ind w:firstLine="567"/>
        <w:jc w:val="both"/>
      </w:pPr>
      <w:r>
        <w:t xml:space="preserve">Co však stále v České republice chybí, je metodika identifikace nehospodářských a hospodářských činností výzkumných organizací, tj. způsob jak </w:t>
      </w:r>
      <w:r w:rsidRPr="00DF6FBF">
        <w:t xml:space="preserve">kterou činnost ve výzkumu a vývoji poznat a </w:t>
      </w:r>
      <w:r w:rsidR="00126C4D">
        <w:t xml:space="preserve">před vykazováním </w:t>
      </w:r>
      <w:r w:rsidRPr="00DF6FBF">
        <w:t>spr</w:t>
      </w:r>
      <w:r>
        <w:t xml:space="preserve">ávně zařadit. </w:t>
      </w:r>
      <w:r w:rsidR="001B2961">
        <w:t xml:space="preserve">Důsledkem </w:t>
      </w:r>
      <w:r w:rsidR="001B2961" w:rsidRPr="001B2961">
        <w:t xml:space="preserve">je situace, kdy </w:t>
      </w:r>
      <w:r w:rsidR="001B2961">
        <w:t xml:space="preserve">různé </w:t>
      </w:r>
      <w:r w:rsidR="001B2961" w:rsidRPr="001B2961">
        <w:t xml:space="preserve">orgány státní správy včetně kontrolních postupují ve stejných případech odlišným způsobem (a pokud </w:t>
      </w:r>
      <w:r w:rsidR="001B2961">
        <w:t>výzkumná organizace</w:t>
      </w:r>
      <w:r w:rsidR="001B2961" w:rsidRPr="001B2961">
        <w:t xml:space="preserve"> vyhoví jednomu, poruší výklad pravidel druhého orgánu), kdy kapac</w:t>
      </w:r>
      <w:r w:rsidR="001B2961">
        <w:t>ity a prostředky státní správy,</w:t>
      </w:r>
      <w:r w:rsidR="001B2961" w:rsidRPr="001B2961">
        <w:t xml:space="preserve"> </w:t>
      </w:r>
      <w:r w:rsidR="001B2961">
        <w:t>výzkumných organizací</w:t>
      </w:r>
      <w:r w:rsidR="001B2961" w:rsidRPr="001B2961">
        <w:t xml:space="preserve"> </w:t>
      </w:r>
      <w:r w:rsidR="001B2961">
        <w:t xml:space="preserve">i podniků </w:t>
      </w:r>
      <w:r w:rsidR="001B2961" w:rsidRPr="001B2961">
        <w:t xml:space="preserve">jsou věnovány administrativním a právním činnostem místo výzkumu a vývoji a kdy nejasné podmínky omezují potřebnou a stále nedostatečnou spolupráci </w:t>
      </w:r>
      <w:r w:rsidR="001B2961">
        <w:t>výzkumných organizací</w:t>
      </w:r>
      <w:r w:rsidR="001B2961" w:rsidRPr="001B2961">
        <w:t xml:space="preserve"> s</w:t>
      </w:r>
      <w:r w:rsidR="001B2961">
        <w:t> </w:t>
      </w:r>
      <w:r w:rsidR="001B2961" w:rsidRPr="001B2961">
        <w:t>podniky</w:t>
      </w:r>
      <w:r w:rsidR="001B2961">
        <w:t>.</w:t>
      </w:r>
      <w:r w:rsidR="001B2961" w:rsidRPr="001B2961">
        <w:rPr>
          <w:color w:val="FF0000"/>
        </w:rPr>
        <w:t xml:space="preserve"> </w:t>
      </w:r>
      <w:r w:rsidR="001B2961" w:rsidRPr="001B2961">
        <w:t>Stávající situace přitom výrazně více postihuje malé a střední výzkumné organizace a podniky s nimi spolupracující, které si nemohou vzhledem ke své velikosti dovolit samostatná právní oddělení zabývající se problematikou veřejné podpory nebo drahé advokátní služby, ani mnohaleté soudní spory o to, zda prováděná činnost je či není v souladu s pravidly veřejné podpory.</w:t>
      </w:r>
    </w:p>
    <w:p w:rsidR="00124884" w:rsidRDefault="00124884" w:rsidP="001A0AD4">
      <w:pPr>
        <w:spacing w:after="200"/>
        <w:ind w:firstLine="567"/>
        <w:jc w:val="both"/>
      </w:pPr>
      <w:r>
        <w:t xml:space="preserve">Na základě iniciativy Asociace výzkumných organizací, Svazu průmyslu a dopravy ČR a Akademie věd ČR proto byla ustanovena pracovní skupina </w:t>
      </w:r>
      <w:r w:rsidRPr="00B47982">
        <w:t xml:space="preserve">Rady pro výzkum, vývoj a </w:t>
      </w:r>
      <w:r w:rsidRPr="00B47982">
        <w:lastRenderedPageBreak/>
        <w:t>inovace</w:t>
      </w:r>
      <w:r>
        <w:t>, složená za zástupců těch orgánů a vysokých škol, jejímž úkolem byla příprava předkládaného materiálu. Činnosti pracovní skupiny a přípravy materiálu se účastnili i zástupců Úřadu pro ochranu hospodářské soutěže</w:t>
      </w:r>
      <w:r w:rsidR="00422490">
        <w:t xml:space="preserve"> a v průběhu přípravy konzultován s hlavními poskytovateli</w:t>
      </w:r>
      <w:r>
        <w:t>. Pracovní verze materiálu byla projednána Ministerstvem financí, s </w:t>
      </w:r>
      <w:r w:rsidRPr="00B47982">
        <w:t>reprezentací vysokých škol, s Akademií věd Č</w:t>
      </w:r>
      <w:r>
        <w:t>R</w:t>
      </w:r>
      <w:r w:rsidRPr="00B47982">
        <w:t>, se Svazem průmyslu a dopravy ČR</w:t>
      </w:r>
      <w:r>
        <w:t xml:space="preserve"> a s Asociací výzkumných organizací a po vypořádání jejich připomínek byla</w:t>
      </w:r>
      <w:r w:rsidRPr="00B47982">
        <w:t xml:space="preserve"> schválen na </w:t>
      </w:r>
      <w:r>
        <w:t>357</w:t>
      </w:r>
      <w:r w:rsidRPr="00B47982">
        <w:t>. zasedání Rady pro výzkum, vývoj a inovace.</w:t>
      </w:r>
    </w:p>
    <w:p w:rsidR="00FD1238" w:rsidRDefault="00FD1238" w:rsidP="005D3B69">
      <w:pPr>
        <w:spacing w:after="200"/>
        <w:ind w:firstLine="567"/>
        <w:jc w:val="both"/>
      </w:pPr>
      <w:r w:rsidRPr="0044294E">
        <w:t>Návrh nemá vliv na rovnost mužů a žen, nevytváří korupční prostředí a ani nemá dopad na státní rozpočet.</w:t>
      </w:r>
    </w:p>
    <w:p w:rsidR="00B47982" w:rsidRPr="00124884" w:rsidRDefault="00B47982" w:rsidP="00124884">
      <w:pPr>
        <w:spacing w:after="200"/>
        <w:ind w:firstLine="567"/>
        <w:jc w:val="both"/>
      </w:pPr>
      <w:r w:rsidRPr="00124884">
        <w:t xml:space="preserve">Materiál byl rozeslán do mezirezortního připomínkového řízení dne … 2020 s termínem zaslání připomínek do … 2020. V mezirezortním připomínkovém řízení se k materiálu vyjádřilo … připomínkových míst. Zásadní připomínky uplatnilo </w:t>
      </w:r>
      <w:bookmarkStart w:id="0" w:name="_GoBack"/>
      <w:bookmarkEnd w:id="0"/>
      <w:r w:rsidRPr="00124884">
        <w:t>… připomínkových míst (bude doplněno). Všechny připomínky ne/byly vypořádány (bude doplněno). Materiál je předkládán bez/s rozporu/</w:t>
      </w:r>
      <w:proofErr w:type="spellStart"/>
      <w:r w:rsidRPr="00124884">
        <w:t>em</w:t>
      </w:r>
      <w:proofErr w:type="spellEnd"/>
      <w:r w:rsidRPr="00124884">
        <w:t xml:space="preserve"> (bude doplněno).</w:t>
      </w:r>
    </w:p>
    <w:sectPr w:rsidR="00B47982" w:rsidRPr="00124884" w:rsidSect="00582DE9">
      <w:footerReference w:type="first" r:id="rId8"/>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2D2" w:rsidRDefault="001252D2">
      <w:r>
        <w:separator/>
      </w:r>
    </w:p>
  </w:endnote>
  <w:endnote w:type="continuationSeparator" w:id="0">
    <w:p w:rsidR="001252D2" w:rsidRDefault="0012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612551"/>
      <w:docPartObj>
        <w:docPartGallery w:val="Page Numbers (Bottom of Page)"/>
        <w:docPartUnique/>
      </w:docPartObj>
    </w:sdtPr>
    <w:sdtEndPr/>
    <w:sdtContent>
      <w:p w:rsidR="0044294E" w:rsidRDefault="0044294E">
        <w:pPr>
          <w:pStyle w:val="Zpat"/>
          <w:jc w:val="center"/>
        </w:pPr>
        <w:r>
          <w:fldChar w:fldCharType="begin"/>
        </w:r>
        <w:r>
          <w:instrText>PAGE   \* MERGEFORMAT</w:instrText>
        </w:r>
        <w:r>
          <w:fldChar w:fldCharType="separate"/>
        </w:r>
        <w:r w:rsidR="00036880">
          <w:rPr>
            <w:noProof/>
          </w:rPr>
          <w:t>1</w:t>
        </w:r>
        <w:r>
          <w:fldChar w:fldCharType="end"/>
        </w:r>
      </w:p>
    </w:sdtContent>
  </w:sdt>
  <w:p w:rsidR="0044294E" w:rsidRDefault="004429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2D2" w:rsidRDefault="001252D2">
      <w:r>
        <w:separator/>
      </w:r>
    </w:p>
  </w:footnote>
  <w:footnote w:type="continuationSeparator" w:id="0">
    <w:p w:rsidR="001252D2" w:rsidRDefault="00125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757A7"/>
    <w:multiLevelType w:val="hybridMultilevel"/>
    <w:tmpl w:val="27E025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84066B9"/>
    <w:multiLevelType w:val="hybridMultilevel"/>
    <w:tmpl w:val="AC8622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7B1E70"/>
    <w:multiLevelType w:val="hybridMultilevel"/>
    <w:tmpl w:val="D242B1E6"/>
    <w:lvl w:ilvl="0" w:tplc="CD4C5C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AC75A5"/>
    <w:multiLevelType w:val="hybridMultilevel"/>
    <w:tmpl w:val="6458F64E"/>
    <w:lvl w:ilvl="0" w:tplc="EADA2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01043D"/>
    <w:multiLevelType w:val="hybridMultilevel"/>
    <w:tmpl w:val="6ACEF9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577C8D"/>
    <w:multiLevelType w:val="hybridMultilevel"/>
    <w:tmpl w:val="EC784E46"/>
    <w:lvl w:ilvl="0" w:tplc="A816BE6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F70E24"/>
    <w:multiLevelType w:val="hybridMultilevel"/>
    <w:tmpl w:val="18944B60"/>
    <w:lvl w:ilvl="0" w:tplc="0AF83E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DD26ABD"/>
    <w:multiLevelType w:val="hybridMultilevel"/>
    <w:tmpl w:val="CED202E4"/>
    <w:lvl w:ilvl="0" w:tplc="7A521F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135D45"/>
    <w:multiLevelType w:val="hybridMultilevel"/>
    <w:tmpl w:val="E5B25B06"/>
    <w:lvl w:ilvl="0" w:tplc="E06C34C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4938F0"/>
    <w:multiLevelType w:val="hybridMultilevel"/>
    <w:tmpl w:val="CAD4B460"/>
    <w:lvl w:ilvl="0" w:tplc="FC561A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BF1711A"/>
    <w:multiLevelType w:val="hybridMultilevel"/>
    <w:tmpl w:val="A914ED8E"/>
    <w:lvl w:ilvl="0" w:tplc="3C4ED7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F0162AE"/>
    <w:multiLevelType w:val="hybridMultilevel"/>
    <w:tmpl w:val="FB5E0C50"/>
    <w:lvl w:ilvl="0" w:tplc="B8EA639A">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AD87C6E"/>
    <w:multiLevelType w:val="hybridMultilevel"/>
    <w:tmpl w:val="37D425A4"/>
    <w:lvl w:ilvl="0" w:tplc="AC2E13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57850"/>
    <w:multiLevelType w:val="hybridMultilevel"/>
    <w:tmpl w:val="BC3E4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EF719EE"/>
    <w:multiLevelType w:val="hybridMultilevel"/>
    <w:tmpl w:val="5B02E6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0"/>
  </w:num>
  <w:num w:numId="3">
    <w:abstractNumId w:val="6"/>
  </w:num>
  <w:num w:numId="4">
    <w:abstractNumId w:val="8"/>
  </w:num>
  <w:num w:numId="5">
    <w:abstractNumId w:val="10"/>
  </w:num>
  <w:num w:numId="6">
    <w:abstractNumId w:val="3"/>
  </w:num>
  <w:num w:numId="7">
    <w:abstractNumId w:val="7"/>
  </w:num>
  <w:num w:numId="8">
    <w:abstractNumId w:val="12"/>
  </w:num>
  <w:num w:numId="9">
    <w:abstractNumId w:val="5"/>
  </w:num>
  <w:num w:numId="10">
    <w:abstractNumId w:val="11"/>
  </w:num>
  <w:num w:numId="11">
    <w:abstractNumId w:val="2"/>
  </w:num>
  <w:num w:numId="12">
    <w:abstractNumId w:val="4"/>
  </w:num>
  <w:num w:numId="13">
    <w:abstractNumId w:val="9"/>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126"/>
    <w:rsid w:val="0002328D"/>
    <w:rsid w:val="00025570"/>
    <w:rsid w:val="00036880"/>
    <w:rsid w:val="00040660"/>
    <w:rsid w:val="00052487"/>
    <w:rsid w:val="00054609"/>
    <w:rsid w:val="00057211"/>
    <w:rsid w:val="00080D58"/>
    <w:rsid w:val="000A2BD2"/>
    <w:rsid w:val="000B55D1"/>
    <w:rsid w:val="000E686F"/>
    <w:rsid w:val="00114699"/>
    <w:rsid w:val="00124884"/>
    <w:rsid w:val="001252D2"/>
    <w:rsid w:val="00126C4D"/>
    <w:rsid w:val="00150874"/>
    <w:rsid w:val="001A0AD4"/>
    <w:rsid w:val="001A47A2"/>
    <w:rsid w:val="001A608C"/>
    <w:rsid w:val="001B2006"/>
    <w:rsid w:val="001B2961"/>
    <w:rsid w:val="001C3CFE"/>
    <w:rsid w:val="001C733F"/>
    <w:rsid w:val="00205FEE"/>
    <w:rsid w:val="00220142"/>
    <w:rsid w:val="00226182"/>
    <w:rsid w:val="00231BD2"/>
    <w:rsid w:val="002326DA"/>
    <w:rsid w:val="002502A8"/>
    <w:rsid w:val="00273271"/>
    <w:rsid w:val="0028511D"/>
    <w:rsid w:val="002A02BF"/>
    <w:rsid w:val="002B6101"/>
    <w:rsid w:val="002C6F99"/>
    <w:rsid w:val="002D67C6"/>
    <w:rsid w:val="002F476A"/>
    <w:rsid w:val="00310E7D"/>
    <w:rsid w:val="00311320"/>
    <w:rsid w:val="003145A3"/>
    <w:rsid w:val="00333C95"/>
    <w:rsid w:val="0033439F"/>
    <w:rsid w:val="003363C0"/>
    <w:rsid w:val="00336CA1"/>
    <w:rsid w:val="003456CE"/>
    <w:rsid w:val="00351C4D"/>
    <w:rsid w:val="00365F24"/>
    <w:rsid w:val="00370F0C"/>
    <w:rsid w:val="003B0EB4"/>
    <w:rsid w:val="003B5875"/>
    <w:rsid w:val="003E4861"/>
    <w:rsid w:val="003F59BF"/>
    <w:rsid w:val="0040293B"/>
    <w:rsid w:val="00403BD3"/>
    <w:rsid w:val="00416126"/>
    <w:rsid w:val="004161BC"/>
    <w:rsid w:val="00420B01"/>
    <w:rsid w:val="00421799"/>
    <w:rsid w:val="00422490"/>
    <w:rsid w:val="00425DD8"/>
    <w:rsid w:val="00433498"/>
    <w:rsid w:val="0044294E"/>
    <w:rsid w:val="004535EA"/>
    <w:rsid w:val="00453CCF"/>
    <w:rsid w:val="00455BF7"/>
    <w:rsid w:val="00466795"/>
    <w:rsid w:val="00483D11"/>
    <w:rsid w:val="004A4297"/>
    <w:rsid w:val="004B64A3"/>
    <w:rsid w:val="004B6774"/>
    <w:rsid w:val="004E0B76"/>
    <w:rsid w:val="004E10BD"/>
    <w:rsid w:val="004F0D8F"/>
    <w:rsid w:val="004F5F1C"/>
    <w:rsid w:val="00500765"/>
    <w:rsid w:val="00501F87"/>
    <w:rsid w:val="00503B89"/>
    <w:rsid w:val="005212A6"/>
    <w:rsid w:val="00533AC2"/>
    <w:rsid w:val="00537B70"/>
    <w:rsid w:val="0057541B"/>
    <w:rsid w:val="0058078A"/>
    <w:rsid w:val="0058362D"/>
    <w:rsid w:val="005839F7"/>
    <w:rsid w:val="005851E0"/>
    <w:rsid w:val="005920B2"/>
    <w:rsid w:val="00592CD0"/>
    <w:rsid w:val="005A362D"/>
    <w:rsid w:val="005B60CF"/>
    <w:rsid w:val="005C1F0C"/>
    <w:rsid w:val="005D2EC8"/>
    <w:rsid w:val="005D3B69"/>
    <w:rsid w:val="005E6E12"/>
    <w:rsid w:val="005F3884"/>
    <w:rsid w:val="00604D74"/>
    <w:rsid w:val="0063458C"/>
    <w:rsid w:val="00640465"/>
    <w:rsid w:val="00651289"/>
    <w:rsid w:val="00661B83"/>
    <w:rsid w:val="00664A35"/>
    <w:rsid w:val="00664E01"/>
    <w:rsid w:val="00674B7C"/>
    <w:rsid w:val="00676719"/>
    <w:rsid w:val="00681EC8"/>
    <w:rsid w:val="006C7415"/>
    <w:rsid w:val="0073208A"/>
    <w:rsid w:val="00737653"/>
    <w:rsid w:val="00751463"/>
    <w:rsid w:val="007745CB"/>
    <w:rsid w:val="00774C85"/>
    <w:rsid w:val="00781B85"/>
    <w:rsid w:val="0079143E"/>
    <w:rsid w:val="00793F0A"/>
    <w:rsid w:val="007B08A4"/>
    <w:rsid w:val="007B3647"/>
    <w:rsid w:val="007B75EB"/>
    <w:rsid w:val="007C199F"/>
    <w:rsid w:val="007D7713"/>
    <w:rsid w:val="007E0956"/>
    <w:rsid w:val="007E2C94"/>
    <w:rsid w:val="007E5B68"/>
    <w:rsid w:val="0080697A"/>
    <w:rsid w:val="00826E8E"/>
    <w:rsid w:val="0083337C"/>
    <w:rsid w:val="00843ABE"/>
    <w:rsid w:val="008448FC"/>
    <w:rsid w:val="00846CCB"/>
    <w:rsid w:val="00857BF4"/>
    <w:rsid w:val="0087637C"/>
    <w:rsid w:val="00893900"/>
    <w:rsid w:val="008C197E"/>
    <w:rsid w:val="008D1BE0"/>
    <w:rsid w:val="008D210F"/>
    <w:rsid w:val="008E4DC8"/>
    <w:rsid w:val="0090068D"/>
    <w:rsid w:val="00901F3D"/>
    <w:rsid w:val="00912A53"/>
    <w:rsid w:val="0091374A"/>
    <w:rsid w:val="00934B40"/>
    <w:rsid w:val="00941D62"/>
    <w:rsid w:val="00951EC8"/>
    <w:rsid w:val="00955058"/>
    <w:rsid w:val="00957485"/>
    <w:rsid w:val="009652ED"/>
    <w:rsid w:val="00977383"/>
    <w:rsid w:val="00980954"/>
    <w:rsid w:val="00982722"/>
    <w:rsid w:val="00996488"/>
    <w:rsid w:val="009A3617"/>
    <w:rsid w:val="009B4AC8"/>
    <w:rsid w:val="009B4FC7"/>
    <w:rsid w:val="009C6435"/>
    <w:rsid w:val="009C6F43"/>
    <w:rsid w:val="009D1DC6"/>
    <w:rsid w:val="009D3B9E"/>
    <w:rsid w:val="009D64C6"/>
    <w:rsid w:val="009E08A5"/>
    <w:rsid w:val="009E50E1"/>
    <w:rsid w:val="00A0286C"/>
    <w:rsid w:val="00A17C1D"/>
    <w:rsid w:val="00A26942"/>
    <w:rsid w:val="00A30F08"/>
    <w:rsid w:val="00A311EA"/>
    <w:rsid w:val="00A4271F"/>
    <w:rsid w:val="00A73A02"/>
    <w:rsid w:val="00A757BE"/>
    <w:rsid w:val="00A76AD3"/>
    <w:rsid w:val="00A84CAF"/>
    <w:rsid w:val="00A926ED"/>
    <w:rsid w:val="00A97591"/>
    <w:rsid w:val="00AA01CB"/>
    <w:rsid w:val="00AA12EF"/>
    <w:rsid w:val="00AB278D"/>
    <w:rsid w:val="00AC1A2E"/>
    <w:rsid w:val="00AD1810"/>
    <w:rsid w:val="00AD79F3"/>
    <w:rsid w:val="00AF4427"/>
    <w:rsid w:val="00B126A5"/>
    <w:rsid w:val="00B355B8"/>
    <w:rsid w:val="00B42049"/>
    <w:rsid w:val="00B47982"/>
    <w:rsid w:val="00B47F6F"/>
    <w:rsid w:val="00B5504E"/>
    <w:rsid w:val="00B577ED"/>
    <w:rsid w:val="00B57C2D"/>
    <w:rsid w:val="00B738D7"/>
    <w:rsid w:val="00B80128"/>
    <w:rsid w:val="00B81A3B"/>
    <w:rsid w:val="00B856D0"/>
    <w:rsid w:val="00B921C1"/>
    <w:rsid w:val="00BA074A"/>
    <w:rsid w:val="00BB0428"/>
    <w:rsid w:val="00BC4626"/>
    <w:rsid w:val="00BD517C"/>
    <w:rsid w:val="00BF4B37"/>
    <w:rsid w:val="00BF6B20"/>
    <w:rsid w:val="00C02B7C"/>
    <w:rsid w:val="00C0409A"/>
    <w:rsid w:val="00C24578"/>
    <w:rsid w:val="00C5472B"/>
    <w:rsid w:val="00C618B4"/>
    <w:rsid w:val="00C63F79"/>
    <w:rsid w:val="00C679F6"/>
    <w:rsid w:val="00C71E06"/>
    <w:rsid w:val="00C752DD"/>
    <w:rsid w:val="00C856C6"/>
    <w:rsid w:val="00CA3220"/>
    <w:rsid w:val="00CB457C"/>
    <w:rsid w:val="00CE31F0"/>
    <w:rsid w:val="00CF076B"/>
    <w:rsid w:val="00D33625"/>
    <w:rsid w:val="00D33E00"/>
    <w:rsid w:val="00D351C1"/>
    <w:rsid w:val="00D36931"/>
    <w:rsid w:val="00D449EC"/>
    <w:rsid w:val="00D65A44"/>
    <w:rsid w:val="00D674FE"/>
    <w:rsid w:val="00D6760B"/>
    <w:rsid w:val="00DD543E"/>
    <w:rsid w:val="00DD7C57"/>
    <w:rsid w:val="00DF6FBF"/>
    <w:rsid w:val="00E04534"/>
    <w:rsid w:val="00E2440E"/>
    <w:rsid w:val="00E32DDD"/>
    <w:rsid w:val="00E60FF6"/>
    <w:rsid w:val="00E66D8A"/>
    <w:rsid w:val="00E879A6"/>
    <w:rsid w:val="00EB1459"/>
    <w:rsid w:val="00ED036E"/>
    <w:rsid w:val="00ED0B56"/>
    <w:rsid w:val="00ED5513"/>
    <w:rsid w:val="00EE19BA"/>
    <w:rsid w:val="00EF0FBC"/>
    <w:rsid w:val="00EF6D22"/>
    <w:rsid w:val="00F105B9"/>
    <w:rsid w:val="00F15F23"/>
    <w:rsid w:val="00F222DF"/>
    <w:rsid w:val="00F31BA1"/>
    <w:rsid w:val="00F32452"/>
    <w:rsid w:val="00F57F6B"/>
    <w:rsid w:val="00F70D13"/>
    <w:rsid w:val="00F722DD"/>
    <w:rsid w:val="00F72914"/>
    <w:rsid w:val="00F87122"/>
    <w:rsid w:val="00F87E01"/>
    <w:rsid w:val="00F902FD"/>
    <w:rsid w:val="00F91C3A"/>
    <w:rsid w:val="00F92AA2"/>
    <w:rsid w:val="00FA746A"/>
    <w:rsid w:val="00FB585C"/>
    <w:rsid w:val="00FC386B"/>
    <w:rsid w:val="00FD0B81"/>
    <w:rsid w:val="00FD1238"/>
    <w:rsid w:val="00FD3B8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D2168-4B08-49FE-B9AC-417B41E1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612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41612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416126"/>
    <w:rPr>
      <w:rFonts w:ascii="Cambria" w:eastAsia="Times New Roman" w:hAnsi="Cambria" w:cs="Times New Roman"/>
      <w:sz w:val="24"/>
      <w:szCs w:val="24"/>
      <w:lang w:eastAsia="cs-CZ"/>
    </w:rPr>
  </w:style>
  <w:style w:type="paragraph" w:styleId="Odstavecseseznamem">
    <w:name w:val="List Paragraph"/>
    <w:basedOn w:val="Normln"/>
    <w:link w:val="OdstavecseseznamemChar"/>
    <w:uiPriority w:val="34"/>
    <w:qFormat/>
    <w:rsid w:val="00416126"/>
    <w:pPr>
      <w:ind w:left="720"/>
      <w:contextualSpacing/>
    </w:pPr>
  </w:style>
  <w:style w:type="character" w:customStyle="1" w:styleId="OdstavecseseznamemChar">
    <w:name w:val="Odstavec se seznamem Char"/>
    <w:link w:val="Odstavecseseznamem"/>
    <w:uiPriority w:val="34"/>
    <w:locked/>
    <w:rsid w:val="0041612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7A2"/>
    <w:rPr>
      <w:rFonts w:ascii="Tahoma" w:hAnsi="Tahoma" w:cs="Tahoma"/>
      <w:sz w:val="16"/>
      <w:szCs w:val="16"/>
    </w:rPr>
  </w:style>
  <w:style w:type="character" w:customStyle="1" w:styleId="TextbublinyChar">
    <w:name w:val="Text bubliny Char"/>
    <w:basedOn w:val="Standardnpsmoodstavce"/>
    <w:link w:val="Textbubliny"/>
    <w:uiPriority w:val="99"/>
    <w:semiHidden/>
    <w:rsid w:val="001A47A2"/>
    <w:rPr>
      <w:rFonts w:ascii="Tahoma" w:eastAsia="Times New Roman" w:hAnsi="Tahoma" w:cs="Tahoma"/>
      <w:sz w:val="16"/>
      <w:szCs w:val="16"/>
      <w:lang w:eastAsia="cs-CZ"/>
    </w:rPr>
  </w:style>
  <w:style w:type="paragraph" w:styleId="Zkladntext">
    <w:name w:val="Body Text"/>
    <w:basedOn w:val="Normln"/>
    <w:link w:val="ZkladntextChar"/>
    <w:semiHidden/>
    <w:unhideWhenUsed/>
    <w:rsid w:val="003B0EB4"/>
    <w:pPr>
      <w:jc w:val="both"/>
    </w:pPr>
    <w:rPr>
      <w:rFonts w:ascii="Arial" w:hAnsi="Arial" w:cs="Arial"/>
    </w:rPr>
  </w:style>
  <w:style w:type="character" w:customStyle="1" w:styleId="ZkladntextChar">
    <w:name w:val="Základní text Char"/>
    <w:basedOn w:val="Standardnpsmoodstavce"/>
    <w:link w:val="Zkladntext"/>
    <w:semiHidden/>
    <w:rsid w:val="003B0EB4"/>
    <w:rPr>
      <w:rFonts w:ascii="Arial" w:eastAsia="Times New Roman" w:hAnsi="Arial" w:cs="Arial"/>
      <w:sz w:val="24"/>
      <w:szCs w:val="24"/>
      <w:lang w:eastAsia="cs-CZ"/>
    </w:rPr>
  </w:style>
  <w:style w:type="paragraph" w:customStyle="1" w:styleId="Default">
    <w:name w:val="Default"/>
    <w:rsid w:val="007C199F"/>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44294E"/>
    <w:pPr>
      <w:tabs>
        <w:tab w:val="center" w:pos="4536"/>
        <w:tab w:val="right" w:pos="9072"/>
      </w:tabs>
    </w:pPr>
  </w:style>
  <w:style w:type="character" w:customStyle="1" w:styleId="ZhlavChar">
    <w:name w:val="Záhlaví Char"/>
    <w:basedOn w:val="Standardnpsmoodstavce"/>
    <w:link w:val="Zhlav"/>
    <w:uiPriority w:val="99"/>
    <w:rsid w:val="0044294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4294E"/>
    <w:pPr>
      <w:tabs>
        <w:tab w:val="center" w:pos="4536"/>
        <w:tab w:val="right" w:pos="9072"/>
      </w:tabs>
    </w:pPr>
  </w:style>
  <w:style w:type="character" w:customStyle="1" w:styleId="ZpatChar">
    <w:name w:val="Zápatí Char"/>
    <w:basedOn w:val="Standardnpsmoodstavce"/>
    <w:link w:val="Zpat"/>
    <w:uiPriority w:val="99"/>
    <w:rsid w:val="0044294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9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6D93D-420F-4662-A906-71E7CE610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693</Words>
  <Characters>4089</Characters>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2018-11-06T07:50:00Z</cp:lastPrinted>
  <dcterms:created xsi:type="dcterms:W3CDTF">2019-01-27T05:59:00Z</dcterms:created>
  <dcterms:modified xsi:type="dcterms:W3CDTF">2020-05-05T07:44:00Z</dcterms:modified>
</cp:coreProperties>
</file>